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0E156A5" w14:textId="77777777" w:rsidR="0068089B" w:rsidRPr="002550CA" w:rsidRDefault="00000000">
      <w:pPr>
        <w:spacing w:after="120" w:line="240" w:lineRule="auto"/>
        <w:jc w:val="both"/>
        <w:rPr>
          <w:color w:val="000000" w:themeColor="text1"/>
        </w:rPr>
      </w:pPr>
      <w:r w:rsidRPr="002550CA">
        <w:rPr>
          <w:b/>
          <w:color w:val="000000" w:themeColor="text1"/>
          <w:sz w:val="30"/>
        </w:rPr>
        <w:t>Supplementary Information</w:t>
      </w:r>
    </w:p>
    <w:p w14:paraId="6FC5E33C" w14:textId="77777777" w:rsidR="0068089B" w:rsidRPr="002550CA" w:rsidRDefault="00000000">
      <w:pPr>
        <w:spacing w:after="120" w:line="240" w:lineRule="auto"/>
        <w:jc w:val="both"/>
        <w:rPr>
          <w:color w:val="000000" w:themeColor="text1"/>
        </w:rPr>
      </w:pPr>
      <w:r w:rsidRPr="002550CA">
        <w:rPr>
          <w:b/>
          <w:color w:val="000000" w:themeColor="text1"/>
          <w:sz w:val="24"/>
        </w:rPr>
        <w:t>False-Alarm-Controlled Evaluation of Gas Indices and Deep Learning for Early Detection of Coal Spontaneous Combustion</w:t>
      </w:r>
    </w:p>
    <w:p w14:paraId="15AB7933" w14:textId="77777777" w:rsidR="0068089B" w:rsidRPr="002550CA" w:rsidRDefault="00000000">
      <w:pPr>
        <w:spacing w:after="120" w:line="240" w:lineRule="auto"/>
        <w:jc w:val="both"/>
        <w:rPr>
          <w:color w:val="000000" w:themeColor="text1"/>
        </w:rPr>
      </w:pPr>
      <w:r w:rsidRPr="002550CA">
        <w:rPr>
          <w:color w:val="000000" w:themeColor="text1"/>
          <w:sz w:val="22"/>
        </w:rPr>
        <w:t>Ulas CINAR</w:t>
      </w:r>
    </w:p>
    <w:p w14:paraId="6E554B81" w14:textId="77777777" w:rsidR="0068089B" w:rsidRPr="002550CA" w:rsidRDefault="00000000">
      <w:pPr>
        <w:spacing w:after="120" w:line="240" w:lineRule="auto"/>
        <w:jc w:val="both"/>
        <w:rPr>
          <w:color w:val="000000" w:themeColor="text1"/>
        </w:rPr>
      </w:pPr>
      <w:r w:rsidRPr="002550CA">
        <w:rPr>
          <w:i/>
          <w:color w:val="000000" w:themeColor="text1"/>
          <w:sz w:val="18"/>
        </w:rPr>
        <w:t>Canakkale Onsekiz Mart University, Department of Occupational Health and Safety, Canakkale, Turkey. ulas.cinar@comu.edu.tr</w:t>
      </w:r>
    </w:p>
    <w:p w14:paraId="593E739F" w14:textId="77777777" w:rsidR="0068089B" w:rsidRPr="002550CA" w:rsidRDefault="0068089B">
      <w:pPr>
        <w:rPr>
          <w:color w:val="000000" w:themeColor="text1"/>
        </w:rPr>
      </w:pPr>
    </w:p>
    <w:p w14:paraId="4BE679D8" w14:textId="77777777" w:rsidR="0068089B" w:rsidRPr="002550CA" w:rsidRDefault="00000000">
      <w:pPr>
        <w:spacing w:after="120" w:line="240" w:lineRule="auto"/>
        <w:jc w:val="both"/>
        <w:rPr>
          <w:color w:val="000000" w:themeColor="text1"/>
        </w:rPr>
      </w:pPr>
      <w:r w:rsidRPr="002550CA">
        <w:rPr>
          <w:i/>
          <w:color w:val="000000" w:themeColor="text1"/>
        </w:rPr>
        <w:t>This file contains Supplementary Tables S1 to S5 and Supplementary Figures S1 to S7. The field monitoring records are supplied separately as Supplementary Data S1.</w:t>
      </w:r>
    </w:p>
    <w:p w14:paraId="63DD4090" w14:textId="77777777" w:rsidR="0068089B" w:rsidRPr="002550CA" w:rsidRDefault="00000000">
      <w:pPr>
        <w:spacing w:before="240" w:after="120"/>
        <w:rPr>
          <w:color w:val="000000" w:themeColor="text1"/>
        </w:rPr>
      </w:pPr>
      <w:r w:rsidRPr="002550CA">
        <w:rPr>
          <w:b/>
          <w:color w:val="000000" w:themeColor="text1"/>
          <w:sz w:val="26"/>
        </w:rPr>
        <w:t>Supplementary Tables</w:t>
      </w:r>
    </w:p>
    <w:p w14:paraId="3A02C023" w14:textId="77777777" w:rsidR="0068089B" w:rsidRPr="002550CA" w:rsidRDefault="00000000">
      <w:pPr>
        <w:spacing w:before="200" w:after="80"/>
        <w:rPr>
          <w:color w:val="000000" w:themeColor="text1"/>
        </w:rPr>
      </w:pPr>
      <w:r w:rsidRPr="002550CA">
        <w:rPr>
          <w:b/>
          <w:color w:val="000000" w:themeColor="text1"/>
          <w:sz w:val="18"/>
        </w:rPr>
        <w:t>Supplementary Table S1. Representative studies on coal-mine fire and gas prediction, and the evaluation quantity each reports.</w:t>
      </w:r>
    </w:p>
    <w:tbl>
      <w:tblPr>
        <w:tblW w:w="0" w:type="auto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480"/>
        <w:gridCol w:w="2482"/>
        <w:gridCol w:w="2482"/>
        <w:gridCol w:w="2482"/>
      </w:tblGrid>
      <w:tr w:rsidR="0068089B" w:rsidRPr="002550CA" w14:paraId="2F1C8CA8" w14:textId="77777777">
        <w:trPr>
          <w:jc w:val="center"/>
        </w:trPr>
        <w:tc>
          <w:tcPr>
            <w:tcW w:w="2484" w:type="dxa"/>
          </w:tcPr>
          <w:p w14:paraId="1691C0CE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b/>
                <w:color w:val="000000" w:themeColor="text1"/>
                <w:sz w:val="15"/>
              </w:rPr>
              <w:t>Study</w:t>
            </w:r>
          </w:p>
        </w:tc>
        <w:tc>
          <w:tcPr>
            <w:tcW w:w="2484" w:type="dxa"/>
          </w:tcPr>
          <w:p w14:paraId="709E5A40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b/>
                <w:color w:val="000000" w:themeColor="text1"/>
                <w:sz w:val="15"/>
              </w:rPr>
              <w:t>Method</w:t>
            </w:r>
          </w:p>
        </w:tc>
        <w:tc>
          <w:tcPr>
            <w:tcW w:w="2484" w:type="dxa"/>
          </w:tcPr>
          <w:p w14:paraId="05F94B08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b/>
                <w:color w:val="000000" w:themeColor="text1"/>
                <w:sz w:val="15"/>
              </w:rPr>
              <w:t>Reported evaluation</w:t>
            </w:r>
          </w:p>
        </w:tc>
        <w:tc>
          <w:tcPr>
            <w:tcW w:w="2484" w:type="dxa"/>
          </w:tcPr>
          <w:p w14:paraId="47C01619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b/>
                <w:color w:val="000000" w:themeColor="text1"/>
                <w:sz w:val="15"/>
              </w:rPr>
              <w:t>Limitation addressed here</w:t>
            </w:r>
          </w:p>
        </w:tc>
      </w:tr>
      <w:tr w:rsidR="0068089B" w:rsidRPr="002550CA" w14:paraId="3B572F4F" w14:textId="77777777">
        <w:trPr>
          <w:jc w:val="center"/>
        </w:trPr>
        <w:tc>
          <w:tcPr>
            <w:tcW w:w="2484" w:type="dxa"/>
          </w:tcPr>
          <w:p w14:paraId="754CDF1F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Singh et al. (2007)</w:t>
            </w:r>
          </w:p>
        </w:tc>
        <w:tc>
          <w:tcPr>
            <w:tcW w:w="2484" w:type="dxa"/>
          </w:tcPr>
          <w:p w14:paraId="21189D27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Classical gas-ratio indices (Graham, Trickett, Willett)</w:t>
            </w:r>
          </w:p>
        </w:tc>
        <w:tc>
          <w:tcPr>
            <w:tcW w:w="2484" w:type="dxa"/>
          </w:tcPr>
          <w:p w14:paraId="4851A26E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Retrospective interpretation of sealed-fire status</w:t>
            </w:r>
          </w:p>
        </w:tc>
        <w:tc>
          <w:tcPr>
            <w:tcW w:w="2484" w:type="dxa"/>
          </w:tcPr>
          <w:p w14:paraId="7ED137D0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No false-alarm rate is quantified; thresholds are applied post hoc to confirmed events</w:t>
            </w:r>
          </w:p>
        </w:tc>
      </w:tr>
      <w:tr w:rsidR="0068089B" w:rsidRPr="002550CA" w14:paraId="2EE56B2A" w14:textId="77777777">
        <w:trPr>
          <w:jc w:val="center"/>
        </w:trPr>
        <w:tc>
          <w:tcPr>
            <w:tcW w:w="2484" w:type="dxa"/>
          </w:tcPr>
          <w:p w14:paraId="1ABEB036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Onifade and Genc (2020)</w:t>
            </w:r>
          </w:p>
        </w:tc>
        <w:tc>
          <w:tcPr>
            <w:tcW w:w="2484" w:type="dxa"/>
          </w:tcPr>
          <w:p w14:paraId="207AB82C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Review of spontaneous-combustion prediction</w:t>
            </w:r>
          </w:p>
        </w:tc>
        <w:tc>
          <w:tcPr>
            <w:tcW w:w="2484" w:type="dxa"/>
          </w:tcPr>
          <w:p w14:paraId="1EF83E70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Narrative synthesis</w:t>
            </w:r>
          </w:p>
        </w:tc>
        <w:tc>
          <w:tcPr>
            <w:tcW w:w="2484" w:type="dxa"/>
          </w:tcPr>
          <w:p w14:paraId="348008FC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Notes fragmentation of the field but does not propose a common evaluation protocol</w:t>
            </w:r>
          </w:p>
        </w:tc>
      </w:tr>
      <w:tr w:rsidR="0068089B" w:rsidRPr="002550CA" w14:paraId="2647AC68" w14:textId="77777777">
        <w:trPr>
          <w:jc w:val="center"/>
        </w:trPr>
        <w:tc>
          <w:tcPr>
            <w:tcW w:w="2484" w:type="dxa"/>
          </w:tcPr>
          <w:p w14:paraId="324CE5E7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Danish and Onder (2020)</w:t>
            </w:r>
          </w:p>
        </w:tc>
        <w:tc>
          <w:tcPr>
            <w:tcW w:w="2484" w:type="dxa"/>
          </w:tcPr>
          <w:p w14:paraId="4B1C98DF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Mamdani fuzzy inference on CO, O2, N2, temperature</w:t>
            </w:r>
          </w:p>
        </w:tc>
        <w:tc>
          <w:tcPr>
            <w:tcW w:w="2484" w:type="dxa"/>
          </w:tcPr>
          <w:p w14:paraId="23218791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Agreement with observed fire intensity at one mine</w:t>
            </w:r>
          </w:p>
        </w:tc>
        <w:tc>
          <w:tcPr>
            <w:tcW w:w="2484" w:type="dxa"/>
          </w:tcPr>
          <w:p w14:paraId="585A965F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Single site; no false-alarm accounting on non-fire periods</w:t>
            </w:r>
          </w:p>
        </w:tc>
      </w:tr>
      <w:tr w:rsidR="0068089B" w:rsidRPr="002550CA" w14:paraId="55FB2929" w14:textId="77777777">
        <w:trPr>
          <w:jc w:val="center"/>
        </w:trPr>
        <w:tc>
          <w:tcPr>
            <w:tcW w:w="2484" w:type="dxa"/>
          </w:tcPr>
          <w:p w14:paraId="26ADC8DB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Zhang et al. (2022)</w:t>
            </w:r>
          </w:p>
        </w:tc>
        <w:tc>
          <w:tcPr>
            <w:tcW w:w="2484" w:type="dxa"/>
          </w:tcPr>
          <w:p w14:paraId="73FF4070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Machine learning for self-ignition tendency</w:t>
            </w:r>
          </w:p>
        </w:tc>
        <w:tc>
          <w:tcPr>
            <w:tcW w:w="2484" w:type="dxa"/>
          </w:tcPr>
          <w:p w14:paraId="22580273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Regression accuracy (R2) on laboratory data</w:t>
            </w:r>
          </w:p>
        </w:tc>
        <w:tc>
          <w:tcPr>
            <w:tcW w:w="2484" w:type="dxa"/>
          </w:tcPr>
          <w:p w14:paraId="2562AFB3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Laboratory endpoint, not a time-resolved alarm decision</w:t>
            </w:r>
          </w:p>
        </w:tc>
      </w:tr>
      <w:tr w:rsidR="0068089B" w:rsidRPr="002550CA" w14:paraId="0FB7ECE1" w14:textId="77777777">
        <w:trPr>
          <w:jc w:val="center"/>
        </w:trPr>
        <w:tc>
          <w:tcPr>
            <w:tcW w:w="2484" w:type="dxa"/>
          </w:tcPr>
          <w:p w14:paraId="1F670082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Qi et al. (2023)</w:t>
            </w:r>
          </w:p>
        </w:tc>
        <w:tc>
          <w:tcPr>
            <w:tcW w:w="2484" w:type="dxa"/>
          </w:tcPr>
          <w:p w14:paraId="4D8B434F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ML prediction of borehole spontaneous combustion</w:t>
            </w:r>
          </w:p>
        </w:tc>
        <w:tc>
          <w:tcPr>
            <w:tcW w:w="2484" w:type="dxa"/>
          </w:tcPr>
          <w:p w14:paraId="72A1FD7F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Classification accuracy</w:t>
            </w:r>
          </w:p>
        </w:tc>
        <w:tc>
          <w:tcPr>
            <w:tcW w:w="2484" w:type="dxa"/>
          </w:tcPr>
          <w:p w14:paraId="4B86DC22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Operating point fixed; no trade-off curve reported</w:t>
            </w:r>
          </w:p>
        </w:tc>
      </w:tr>
      <w:tr w:rsidR="0068089B" w:rsidRPr="002550CA" w14:paraId="5659DE07" w14:textId="77777777">
        <w:trPr>
          <w:jc w:val="center"/>
        </w:trPr>
        <w:tc>
          <w:tcPr>
            <w:tcW w:w="2484" w:type="dxa"/>
          </w:tcPr>
          <w:p w14:paraId="1E073621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Wang et al. (2024)</w:t>
            </w:r>
          </w:p>
        </w:tc>
        <w:tc>
          <w:tcPr>
            <w:tcW w:w="2484" w:type="dxa"/>
          </w:tcPr>
          <w:p w14:paraId="15B440EB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SSA-optimised CNN for combustion temperature</w:t>
            </w:r>
          </w:p>
        </w:tc>
        <w:tc>
          <w:tcPr>
            <w:tcW w:w="2484" w:type="dxa"/>
          </w:tcPr>
          <w:p w14:paraId="3F2B424D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R2 / RMSE on temperature</w:t>
            </w:r>
          </w:p>
        </w:tc>
        <w:tc>
          <w:tcPr>
            <w:tcW w:w="2484" w:type="dxa"/>
          </w:tcPr>
          <w:p w14:paraId="799B5006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Forecast error, not detection timeliness</w:t>
            </w:r>
          </w:p>
        </w:tc>
      </w:tr>
      <w:tr w:rsidR="0068089B" w:rsidRPr="002550CA" w14:paraId="4E5E1523" w14:textId="77777777">
        <w:trPr>
          <w:jc w:val="center"/>
        </w:trPr>
        <w:tc>
          <w:tcPr>
            <w:tcW w:w="2484" w:type="dxa"/>
          </w:tcPr>
          <w:p w14:paraId="50A7A94E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Yang et al. (2024)</w:t>
            </w:r>
          </w:p>
        </w:tc>
        <w:tc>
          <w:tcPr>
            <w:tcW w:w="2484" w:type="dxa"/>
          </w:tcPr>
          <w:p w14:paraId="4B16EB5A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PSO-tuned LSTM for gas concentration</w:t>
            </w:r>
          </w:p>
        </w:tc>
        <w:tc>
          <w:tcPr>
            <w:tcW w:w="2484" w:type="dxa"/>
          </w:tcPr>
          <w:p w14:paraId="494FC99D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Forecast error metrics</w:t>
            </w:r>
          </w:p>
        </w:tc>
        <w:tc>
          <w:tcPr>
            <w:tcW w:w="2484" w:type="dxa"/>
          </w:tcPr>
          <w:p w14:paraId="14F677C9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No alarm decision or false-alarm rate</w:t>
            </w:r>
          </w:p>
        </w:tc>
      </w:tr>
      <w:tr w:rsidR="0068089B" w:rsidRPr="002550CA" w14:paraId="40686009" w14:textId="77777777">
        <w:trPr>
          <w:jc w:val="center"/>
        </w:trPr>
        <w:tc>
          <w:tcPr>
            <w:tcW w:w="2484" w:type="dxa"/>
          </w:tcPr>
          <w:p w14:paraId="0A5DC59F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Shao et al. (2025)</w:t>
            </w:r>
          </w:p>
        </w:tc>
        <w:tc>
          <w:tcPr>
            <w:tcW w:w="2484" w:type="dxa"/>
          </w:tcPr>
          <w:p w14:paraId="4A731970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ITOC-optimised CNN-BiGRU-CBAM</w:t>
            </w:r>
          </w:p>
        </w:tc>
        <w:tc>
          <w:tcPr>
            <w:tcW w:w="2484" w:type="dxa"/>
          </w:tcPr>
          <w:p w14:paraId="3CA3ABC3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R2 = 0.974 for temperature</w:t>
            </w:r>
          </w:p>
        </w:tc>
        <w:tc>
          <w:tcPr>
            <w:tcW w:w="2484" w:type="dxa"/>
          </w:tcPr>
          <w:p w14:paraId="6E013C04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High regression accuracy does not establish early-warning value</w:t>
            </w:r>
          </w:p>
        </w:tc>
      </w:tr>
      <w:tr w:rsidR="0068089B" w:rsidRPr="002550CA" w14:paraId="32E3D78E" w14:textId="77777777">
        <w:trPr>
          <w:jc w:val="center"/>
        </w:trPr>
        <w:tc>
          <w:tcPr>
            <w:tcW w:w="2484" w:type="dxa"/>
          </w:tcPr>
          <w:p w14:paraId="7F391966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Ding et al. (2025)</w:t>
            </w:r>
          </w:p>
        </w:tc>
        <w:tc>
          <w:tcPr>
            <w:tcW w:w="2484" w:type="dxa"/>
          </w:tcPr>
          <w:p w14:paraId="4C905FFB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Bayesian-optimised LSTM</w:t>
            </w:r>
          </w:p>
        </w:tc>
        <w:tc>
          <w:tcPr>
            <w:tcW w:w="2484" w:type="dxa"/>
          </w:tcPr>
          <w:p w14:paraId="59BEF8AC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Temperature prediction error</w:t>
            </w:r>
          </w:p>
        </w:tc>
        <w:tc>
          <w:tcPr>
            <w:tcW w:w="2484" w:type="dxa"/>
          </w:tcPr>
          <w:p w14:paraId="0E56CC2F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Same as above; alarm behaviour unquantified</w:t>
            </w:r>
          </w:p>
        </w:tc>
      </w:tr>
      <w:tr w:rsidR="0068089B" w:rsidRPr="002550CA" w14:paraId="57A86148" w14:textId="77777777">
        <w:trPr>
          <w:jc w:val="center"/>
        </w:trPr>
        <w:tc>
          <w:tcPr>
            <w:tcW w:w="2484" w:type="dxa"/>
          </w:tcPr>
          <w:p w14:paraId="69D12A11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Xing et al. (2025)</w:t>
            </w:r>
          </w:p>
        </w:tc>
        <w:tc>
          <w:tcPr>
            <w:tcW w:w="2484" w:type="dxa"/>
          </w:tcPr>
          <w:p w14:paraId="1847B2F5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SSA-optimised CNN-BiLSTM with attention</w:t>
            </w:r>
          </w:p>
        </w:tc>
        <w:tc>
          <w:tcPr>
            <w:tcW w:w="2484" w:type="dxa"/>
          </w:tcPr>
          <w:p w14:paraId="11A9203F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Multivariate forecast accuracy</w:t>
            </w:r>
          </w:p>
        </w:tc>
        <w:tc>
          <w:tcPr>
            <w:tcW w:w="2484" w:type="dxa"/>
          </w:tcPr>
          <w:p w14:paraId="2046D00E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Attention improves fit but is not linked to alarm performance</w:t>
            </w:r>
          </w:p>
        </w:tc>
      </w:tr>
      <w:tr w:rsidR="0068089B" w:rsidRPr="002550CA" w14:paraId="7340BD5E" w14:textId="77777777">
        <w:trPr>
          <w:jc w:val="center"/>
        </w:trPr>
        <w:tc>
          <w:tcPr>
            <w:tcW w:w="2484" w:type="dxa"/>
          </w:tcPr>
          <w:p w14:paraId="71A8E9D6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Zhao et al. (2025)</w:t>
            </w:r>
          </w:p>
        </w:tc>
        <w:tc>
          <w:tcPr>
            <w:tcW w:w="2484" w:type="dxa"/>
          </w:tcPr>
          <w:p w14:paraId="781F990C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Interpretable stacked ensemble with SHAP</w:t>
            </w:r>
          </w:p>
        </w:tc>
        <w:tc>
          <w:tcPr>
            <w:tcW w:w="2484" w:type="dxa"/>
          </w:tcPr>
          <w:p w14:paraId="6F3F472F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Accuracy plus feature attribution</w:t>
            </w:r>
          </w:p>
        </w:tc>
        <w:tc>
          <w:tcPr>
            <w:tcW w:w="2484" w:type="dxa"/>
          </w:tcPr>
          <w:p w14:paraId="699AD094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Interpretability addressed; false-alarm trade-off not</w:t>
            </w:r>
          </w:p>
        </w:tc>
      </w:tr>
      <w:tr w:rsidR="0068089B" w:rsidRPr="002550CA" w14:paraId="6F2BDC58" w14:textId="77777777">
        <w:trPr>
          <w:jc w:val="center"/>
        </w:trPr>
        <w:tc>
          <w:tcPr>
            <w:tcW w:w="2484" w:type="dxa"/>
          </w:tcPr>
          <w:p w14:paraId="15ADA5CE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This study</w:t>
            </w:r>
          </w:p>
        </w:tc>
        <w:tc>
          <w:tcPr>
            <w:tcW w:w="2484" w:type="dxa"/>
          </w:tcPr>
          <w:p w14:paraId="41BE7D78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Matched false-alarm-rate benchmark of indices and Attention-LSTM models</w:t>
            </w:r>
          </w:p>
        </w:tc>
        <w:tc>
          <w:tcPr>
            <w:tcW w:w="2484" w:type="dxa"/>
          </w:tcPr>
          <w:p w14:paraId="43E02FD2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Detection rate and lead time at a common false-alarm rate, with bootstrap CIs</w:t>
            </w:r>
          </w:p>
        </w:tc>
        <w:tc>
          <w:tcPr>
            <w:tcW w:w="2484" w:type="dxa"/>
          </w:tcPr>
          <w:p w14:paraId="0A977338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Provides the missing common operating point for comparing methods</w:t>
            </w:r>
          </w:p>
        </w:tc>
      </w:tr>
    </w:tbl>
    <w:p w14:paraId="0319F27F" w14:textId="77777777" w:rsidR="002550CA" w:rsidRPr="002550CA" w:rsidRDefault="002550CA">
      <w:pPr>
        <w:spacing w:before="200" w:after="80"/>
        <w:rPr>
          <w:b/>
          <w:color w:val="000000" w:themeColor="text1"/>
          <w:sz w:val="18"/>
        </w:rPr>
      </w:pPr>
    </w:p>
    <w:p w14:paraId="093F9C36" w14:textId="77777777" w:rsidR="002550CA" w:rsidRPr="002550CA" w:rsidRDefault="002550CA">
      <w:pPr>
        <w:spacing w:before="200" w:after="80"/>
        <w:rPr>
          <w:b/>
          <w:color w:val="000000" w:themeColor="text1"/>
          <w:sz w:val="18"/>
        </w:rPr>
      </w:pPr>
    </w:p>
    <w:p w14:paraId="00B1143C" w14:textId="141874A5" w:rsidR="0068089B" w:rsidRPr="002550CA" w:rsidRDefault="00000000">
      <w:pPr>
        <w:spacing w:before="200" w:after="80"/>
        <w:rPr>
          <w:color w:val="000000" w:themeColor="text1"/>
        </w:rPr>
      </w:pPr>
      <w:r w:rsidRPr="002550CA">
        <w:rPr>
          <w:b/>
          <w:color w:val="000000" w:themeColor="text1"/>
          <w:sz w:val="18"/>
        </w:rPr>
        <w:lastRenderedPageBreak/>
        <w:t>Supplementary Table S2. Sampled parameter ranges of the simulation environment.</w:t>
      </w:r>
    </w:p>
    <w:tbl>
      <w:tblPr>
        <w:tblW w:w="0" w:type="auto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481"/>
        <w:gridCol w:w="2481"/>
        <w:gridCol w:w="2482"/>
        <w:gridCol w:w="2482"/>
      </w:tblGrid>
      <w:tr w:rsidR="0068089B" w:rsidRPr="002550CA" w14:paraId="0F6E6B2E" w14:textId="77777777">
        <w:trPr>
          <w:jc w:val="center"/>
        </w:trPr>
        <w:tc>
          <w:tcPr>
            <w:tcW w:w="2484" w:type="dxa"/>
          </w:tcPr>
          <w:p w14:paraId="2461E371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b/>
                <w:color w:val="000000" w:themeColor="text1"/>
                <w:sz w:val="15"/>
              </w:rPr>
              <w:t>Quantity</w:t>
            </w:r>
          </w:p>
        </w:tc>
        <w:tc>
          <w:tcPr>
            <w:tcW w:w="2484" w:type="dxa"/>
          </w:tcPr>
          <w:p w14:paraId="5A5F2EE2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b/>
                <w:color w:val="000000" w:themeColor="text1"/>
                <w:sz w:val="15"/>
              </w:rPr>
              <w:t>Symbol / units</w:t>
            </w:r>
          </w:p>
        </w:tc>
        <w:tc>
          <w:tcPr>
            <w:tcW w:w="2484" w:type="dxa"/>
          </w:tcPr>
          <w:p w14:paraId="1096685D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b/>
                <w:color w:val="000000" w:themeColor="text1"/>
                <w:sz w:val="15"/>
              </w:rPr>
              <w:t>Sampled range</w:t>
            </w:r>
          </w:p>
        </w:tc>
        <w:tc>
          <w:tcPr>
            <w:tcW w:w="2484" w:type="dxa"/>
          </w:tcPr>
          <w:p w14:paraId="752E61E4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b/>
                <w:color w:val="000000" w:themeColor="text1"/>
                <w:sz w:val="15"/>
              </w:rPr>
              <w:t>Basis</w:t>
            </w:r>
          </w:p>
        </w:tc>
      </w:tr>
      <w:tr w:rsidR="0068089B" w:rsidRPr="002550CA" w14:paraId="5FCFF5D9" w14:textId="77777777">
        <w:trPr>
          <w:jc w:val="center"/>
        </w:trPr>
        <w:tc>
          <w:tcPr>
            <w:tcW w:w="2484" w:type="dxa"/>
          </w:tcPr>
          <w:p w14:paraId="1A128739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Heat-generation scale</w:t>
            </w:r>
          </w:p>
        </w:tc>
        <w:tc>
          <w:tcPr>
            <w:tcW w:w="2484" w:type="dxa"/>
          </w:tcPr>
          <w:p w14:paraId="53DA626F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q</w:t>
            </w:r>
          </w:p>
        </w:tc>
        <w:tc>
          <w:tcPr>
            <w:tcW w:w="2484" w:type="dxa"/>
          </w:tcPr>
          <w:p w14:paraId="7BFF1629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0.19-0.34 (supercritical); 0.05-0.185 (subcritical)</w:t>
            </w:r>
          </w:p>
        </w:tc>
        <w:tc>
          <w:tcPr>
            <w:tcW w:w="2484" w:type="dxa"/>
          </w:tcPr>
          <w:p w14:paraId="04021AEF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Chosen to straddle the thermal-runaway bifurcation</w:t>
            </w:r>
          </w:p>
        </w:tc>
      </w:tr>
      <w:tr w:rsidR="0068089B" w:rsidRPr="002550CA" w14:paraId="0CB3F4DB" w14:textId="77777777">
        <w:trPr>
          <w:jc w:val="center"/>
        </w:trPr>
        <w:tc>
          <w:tcPr>
            <w:tcW w:w="2484" w:type="dxa"/>
          </w:tcPr>
          <w:p w14:paraId="48177A6C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Activation energy, self-heating</w:t>
            </w:r>
          </w:p>
        </w:tc>
        <w:tc>
          <w:tcPr>
            <w:tcW w:w="2484" w:type="dxa"/>
          </w:tcPr>
          <w:p w14:paraId="47C04CFD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Ea (kJ mol⁻¹)</w:t>
            </w:r>
          </w:p>
        </w:tc>
        <w:tc>
          <w:tcPr>
            <w:tcW w:w="2484" w:type="dxa"/>
          </w:tcPr>
          <w:p w14:paraId="375651E3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42-46</w:t>
            </w:r>
          </w:p>
        </w:tc>
        <w:tc>
          <w:tcPr>
            <w:tcW w:w="2484" w:type="dxa"/>
          </w:tcPr>
          <w:p w14:paraId="0590525A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Low-temperature coal oxidation</w:t>
            </w:r>
          </w:p>
        </w:tc>
      </w:tr>
      <w:tr w:rsidR="0068089B" w:rsidRPr="002550CA" w14:paraId="6D3E5161" w14:textId="77777777">
        <w:trPr>
          <w:jc w:val="center"/>
        </w:trPr>
        <w:tc>
          <w:tcPr>
            <w:tcW w:w="2484" w:type="dxa"/>
          </w:tcPr>
          <w:p w14:paraId="6EC524D6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Ventilation cooling coefficient</w:t>
            </w:r>
          </w:p>
        </w:tc>
        <w:tc>
          <w:tcPr>
            <w:tcW w:w="2484" w:type="dxa"/>
          </w:tcPr>
          <w:p w14:paraId="1C231730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h (h⁻¹)</w:t>
            </w:r>
          </w:p>
        </w:tc>
        <w:tc>
          <w:tcPr>
            <w:tcW w:w="2484" w:type="dxa"/>
          </w:tcPr>
          <w:p w14:paraId="093D4011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0.024-0.030</w:t>
            </w:r>
          </w:p>
        </w:tc>
        <w:tc>
          <w:tcPr>
            <w:tcW w:w="2484" w:type="dxa"/>
          </w:tcPr>
          <w:p w14:paraId="0DCF856D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Convective heat removal</w:t>
            </w:r>
          </w:p>
        </w:tc>
      </w:tr>
      <w:tr w:rsidR="0068089B" w:rsidRPr="002550CA" w14:paraId="07CEFB73" w14:textId="77777777">
        <w:trPr>
          <w:jc w:val="center"/>
        </w:trPr>
        <w:tc>
          <w:tcPr>
            <w:tcW w:w="2484" w:type="dxa"/>
          </w:tcPr>
          <w:p w14:paraId="0AC4EB94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Incubation delay</w:t>
            </w:r>
          </w:p>
        </w:tc>
        <w:tc>
          <w:tcPr>
            <w:tcW w:w="2484" w:type="dxa"/>
          </w:tcPr>
          <w:p w14:paraId="3F8E517A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t0 (h)</w:t>
            </w:r>
          </w:p>
        </w:tc>
        <w:tc>
          <w:tcPr>
            <w:tcW w:w="2484" w:type="dxa"/>
          </w:tcPr>
          <w:p w14:paraId="51D87E73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150-950</w:t>
            </w:r>
          </w:p>
        </w:tc>
        <w:tc>
          <w:tcPr>
            <w:tcW w:w="2484" w:type="dxa"/>
          </w:tcPr>
          <w:p w14:paraId="7977E667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Variable onset within the monitoring window</w:t>
            </w:r>
          </w:p>
        </w:tc>
      </w:tr>
      <w:tr w:rsidR="0068089B" w:rsidRPr="002550CA" w14:paraId="27B9F0EB" w14:textId="77777777">
        <w:trPr>
          <w:jc w:val="center"/>
        </w:trPr>
        <w:tc>
          <w:tcPr>
            <w:tcW w:w="2484" w:type="dxa"/>
          </w:tcPr>
          <w:p w14:paraId="2A913230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Activation energy, CO / CO2 / ΔO2</w:t>
            </w:r>
          </w:p>
        </w:tc>
        <w:tc>
          <w:tcPr>
            <w:tcW w:w="2484" w:type="dxa"/>
          </w:tcPr>
          <w:p w14:paraId="1F3F12E3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Ea (kJ mol⁻¹)</w:t>
            </w:r>
          </w:p>
        </w:tc>
        <w:tc>
          <w:tcPr>
            <w:tcW w:w="2484" w:type="dxa"/>
          </w:tcPr>
          <w:p w14:paraId="51C451D3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48-60 / 36-48 / 32-44</w:t>
            </w:r>
          </w:p>
        </w:tc>
        <w:tc>
          <w:tcPr>
            <w:tcW w:w="2484" w:type="dxa"/>
          </w:tcPr>
          <w:p w14:paraId="7383F0CD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Species-specific yields; makes index ratios evolve with T</w:t>
            </w:r>
          </w:p>
        </w:tc>
      </w:tr>
      <w:tr w:rsidR="0068089B" w:rsidRPr="002550CA" w14:paraId="607F003E" w14:textId="77777777">
        <w:trPr>
          <w:jc w:val="center"/>
        </w:trPr>
        <w:tc>
          <w:tcPr>
            <w:tcW w:w="2484" w:type="dxa"/>
          </w:tcPr>
          <w:p w14:paraId="235C385F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Activation energy, H2 / C2H4</w:t>
            </w:r>
          </w:p>
        </w:tc>
        <w:tc>
          <w:tcPr>
            <w:tcW w:w="2484" w:type="dxa"/>
          </w:tcPr>
          <w:p w14:paraId="23EB558D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Ea (kJ mol⁻¹)</w:t>
            </w:r>
          </w:p>
        </w:tc>
        <w:tc>
          <w:tcPr>
            <w:tcW w:w="2484" w:type="dxa"/>
          </w:tcPr>
          <w:p w14:paraId="163DCF2D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80–90 / 96–108</w:t>
            </w:r>
          </w:p>
        </w:tc>
        <w:tc>
          <w:tcPr>
            <w:tcW w:w="2484" w:type="dxa"/>
          </w:tcPr>
          <w:p w14:paraId="5C41B9BA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High-temperature indicator gases</w:t>
            </w:r>
          </w:p>
        </w:tc>
      </w:tr>
      <w:tr w:rsidR="0068089B" w:rsidRPr="002550CA" w14:paraId="70D6743D" w14:textId="77777777">
        <w:trPr>
          <w:jc w:val="center"/>
        </w:trPr>
        <w:tc>
          <w:tcPr>
            <w:tcW w:w="2484" w:type="dxa"/>
          </w:tcPr>
          <w:p w14:paraId="0339250A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Sensor relative noise</w:t>
            </w:r>
          </w:p>
        </w:tc>
        <w:tc>
          <w:tcPr>
            <w:tcW w:w="2484" w:type="dxa"/>
          </w:tcPr>
          <w:p w14:paraId="424EB44B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n/a</w:t>
            </w:r>
          </w:p>
        </w:tc>
        <w:tc>
          <w:tcPr>
            <w:tcW w:w="2484" w:type="dxa"/>
          </w:tcPr>
          <w:p w14:paraId="60677BE9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0.16-12 % by channel</w:t>
            </w:r>
          </w:p>
        </w:tc>
        <w:tc>
          <w:tcPr>
            <w:tcW w:w="2484" w:type="dxa"/>
          </w:tcPr>
          <w:p w14:paraId="7D09823E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Independent per channel</w:t>
            </w:r>
          </w:p>
        </w:tc>
      </w:tr>
      <w:tr w:rsidR="0068089B" w:rsidRPr="002550CA" w14:paraId="0E2B7F40" w14:textId="77777777">
        <w:trPr>
          <w:jc w:val="center"/>
        </w:trPr>
        <w:tc>
          <w:tcPr>
            <w:tcW w:w="2484" w:type="dxa"/>
          </w:tcPr>
          <w:p w14:paraId="6E3641C4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Sensor drift amplitude</w:t>
            </w:r>
          </w:p>
        </w:tc>
        <w:tc>
          <w:tcPr>
            <w:tcW w:w="2484" w:type="dxa"/>
          </w:tcPr>
          <w:p w14:paraId="3285F4EA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n/a</w:t>
            </w:r>
          </w:p>
        </w:tc>
        <w:tc>
          <w:tcPr>
            <w:tcW w:w="2484" w:type="dxa"/>
          </w:tcPr>
          <w:p w14:paraId="58118076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0.2-3 % by channel</w:t>
            </w:r>
          </w:p>
        </w:tc>
        <w:tc>
          <w:tcPr>
            <w:tcW w:w="2484" w:type="dxa"/>
          </w:tcPr>
          <w:p w14:paraId="327A0556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Slow random-walk drift</w:t>
            </w:r>
          </w:p>
        </w:tc>
      </w:tr>
    </w:tbl>
    <w:p w14:paraId="35BD66E9" w14:textId="77777777" w:rsidR="0068089B" w:rsidRPr="002550CA" w:rsidRDefault="00000000">
      <w:pPr>
        <w:spacing w:before="200" w:after="80"/>
        <w:rPr>
          <w:color w:val="000000" w:themeColor="text1"/>
        </w:rPr>
      </w:pPr>
      <w:r w:rsidRPr="002550CA">
        <w:rPr>
          <w:b/>
          <w:color w:val="000000" w:themeColor="text1"/>
          <w:sz w:val="18"/>
        </w:rPr>
        <w:t>Supplementary Table S3. Dataset partition. Splitting is by episode to prevent leakage between adjacent windows.</w:t>
      </w:r>
    </w:p>
    <w:tbl>
      <w:tblPr>
        <w:tblW w:w="0" w:type="auto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986"/>
        <w:gridCol w:w="1985"/>
        <w:gridCol w:w="1985"/>
        <w:gridCol w:w="1985"/>
        <w:gridCol w:w="1985"/>
      </w:tblGrid>
      <w:tr w:rsidR="0068089B" w:rsidRPr="002550CA" w14:paraId="4DBB915B" w14:textId="77777777">
        <w:trPr>
          <w:jc w:val="center"/>
        </w:trPr>
        <w:tc>
          <w:tcPr>
            <w:tcW w:w="1987" w:type="dxa"/>
          </w:tcPr>
          <w:p w14:paraId="3E21B603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b/>
                <w:color w:val="000000" w:themeColor="text1"/>
                <w:sz w:val="15"/>
              </w:rPr>
              <w:t>Partition</w:t>
            </w:r>
          </w:p>
        </w:tc>
        <w:tc>
          <w:tcPr>
            <w:tcW w:w="1987" w:type="dxa"/>
          </w:tcPr>
          <w:p w14:paraId="2E5061DD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b/>
                <w:color w:val="000000" w:themeColor="text1"/>
                <w:sz w:val="15"/>
              </w:rPr>
              <w:t>Episodes</w:t>
            </w:r>
          </w:p>
        </w:tc>
        <w:tc>
          <w:tcPr>
            <w:tcW w:w="1987" w:type="dxa"/>
          </w:tcPr>
          <w:p w14:paraId="5CC72DC8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b/>
                <w:color w:val="000000" w:themeColor="text1"/>
                <w:sz w:val="15"/>
              </w:rPr>
              <w:t>Windows</w:t>
            </w:r>
          </w:p>
        </w:tc>
        <w:tc>
          <w:tcPr>
            <w:tcW w:w="1987" w:type="dxa"/>
          </w:tcPr>
          <w:p w14:paraId="60342AF8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b/>
                <w:color w:val="000000" w:themeColor="text1"/>
                <w:sz w:val="15"/>
              </w:rPr>
              <w:t>Normal</w:t>
            </w:r>
          </w:p>
        </w:tc>
        <w:tc>
          <w:tcPr>
            <w:tcW w:w="1987" w:type="dxa"/>
          </w:tcPr>
          <w:p w14:paraId="4C6159B7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b/>
                <w:color w:val="000000" w:themeColor="text1"/>
                <w:sz w:val="15"/>
              </w:rPr>
              <w:t>Suspected / Active</w:t>
            </w:r>
          </w:p>
        </w:tc>
      </w:tr>
      <w:tr w:rsidR="0068089B" w:rsidRPr="002550CA" w14:paraId="4929FEB6" w14:textId="77777777">
        <w:trPr>
          <w:jc w:val="center"/>
        </w:trPr>
        <w:tc>
          <w:tcPr>
            <w:tcW w:w="1987" w:type="dxa"/>
          </w:tcPr>
          <w:p w14:paraId="2FC41BAA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Training</w:t>
            </w:r>
          </w:p>
        </w:tc>
        <w:tc>
          <w:tcPr>
            <w:tcW w:w="1987" w:type="dxa"/>
          </w:tcPr>
          <w:p w14:paraId="116606CD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147</w:t>
            </w:r>
          </w:p>
        </w:tc>
        <w:tc>
          <w:tcPr>
            <w:tcW w:w="1987" w:type="dxa"/>
          </w:tcPr>
          <w:p w14:paraId="121FA93D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15,582</w:t>
            </w:r>
          </w:p>
        </w:tc>
        <w:tc>
          <w:tcPr>
            <w:tcW w:w="1987" w:type="dxa"/>
          </w:tcPr>
          <w:p w14:paraId="63AC3691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n/a</w:t>
            </w:r>
          </w:p>
        </w:tc>
        <w:tc>
          <w:tcPr>
            <w:tcW w:w="1987" w:type="dxa"/>
          </w:tcPr>
          <w:p w14:paraId="60B6355C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n/a</w:t>
            </w:r>
          </w:p>
        </w:tc>
      </w:tr>
      <w:tr w:rsidR="0068089B" w:rsidRPr="002550CA" w14:paraId="0CCCB951" w14:textId="77777777">
        <w:trPr>
          <w:jc w:val="center"/>
        </w:trPr>
        <w:tc>
          <w:tcPr>
            <w:tcW w:w="1987" w:type="dxa"/>
          </w:tcPr>
          <w:p w14:paraId="6B1D625B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Validation</w:t>
            </w:r>
          </w:p>
        </w:tc>
        <w:tc>
          <w:tcPr>
            <w:tcW w:w="1987" w:type="dxa"/>
          </w:tcPr>
          <w:p w14:paraId="61533FE2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31</w:t>
            </w:r>
          </w:p>
        </w:tc>
        <w:tc>
          <w:tcPr>
            <w:tcW w:w="1987" w:type="dxa"/>
          </w:tcPr>
          <w:p w14:paraId="51C6A07C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3,286</w:t>
            </w:r>
          </w:p>
        </w:tc>
        <w:tc>
          <w:tcPr>
            <w:tcW w:w="1987" w:type="dxa"/>
          </w:tcPr>
          <w:p w14:paraId="4C0797A7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n/a</w:t>
            </w:r>
          </w:p>
        </w:tc>
        <w:tc>
          <w:tcPr>
            <w:tcW w:w="1987" w:type="dxa"/>
          </w:tcPr>
          <w:p w14:paraId="5A51BD01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n/a</w:t>
            </w:r>
          </w:p>
        </w:tc>
      </w:tr>
      <w:tr w:rsidR="0068089B" w:rsidRPr="002550CA" w14:paraId="6BBB2F88" w14:textId="77777777">
        <w:trPr>
          <w:jc w:val="center"/>
        </w:trPr>
        <w:tc>
          <w:tcPr>
            <w:tcW w:w="1987" w:type="dxa"/>
          </w:tcPr>
          <w:p w14:paraId="24EE05C2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Test</w:t>
            </w:r>
          </w:p>
        </w:tc>
        <w:tc>
          <w:tcPr>
            <w:tcW w:w="1987" w:type="dxa"/>
          </w:tcPr>
          <w:p w14:paraId="5A5FB931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32</w:t>
            </w:r>
          </w:p>
        </w:tc>
        <w:tc>
          <w:tcPr>
            <w:tcW w:w="1987" w:type="dxa"/>
          </w:tcPr>
          <w:p w14:paraId="25508536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3,392</w:t>
            </w:r>
          </w:p>
        </w:tc>
        <w:tc>
          <w:tcPr>
            <w:tcW w:w="1987" w:type="dxa"/>
          </w:tcPr>
          <w:p w14:paraId="1D133E7D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2,785</w:t>
            </w:r>
          </w:p>
        </w:tc>
        <w:tc>
          <w:tcPr>
            <w:tcW w:w="1987" w:type="dxa"/>
          </w:tcPr>
          <w:p w14:paraId="0650FB09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58 / 549</w:t>
            </w:r>
          </w:p>
        </w:tc>
      </w:tr>
      <w:tr w:rsidR="0068089B" w:rsidRPr="002550CA" w14:paraId="384C8C17" w14:textId="77777777">
        <w:trPr>
          <w:jc w:val="center"/>
        </w:trPr>
        <w:tc>
          <w:tcPr>
            <w:tcW w:w="1987" w:type="dxa"/>
          </w:tcPr>
          <w:p w14:paraId="071B5524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Total</w:t>
            </w:r>
          </w:p>
        </w:tc>
        <w:tc>
          <w:tcPr>
            <w:tcW w:w="1987" w:type="dxa"/>
          </w:tcPr>
          <w:p w14:paraId="3E9E0CBC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210</w:t>
            </w:r>
          </w:p>
        </w:tc>
        <w:tc>
          <w:tcPr>
            <w:tcW w:w="1987" w:type="dxa"/>
          </w:tcPr>
          <w:p w14:paraId="505B6D26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22,260</w:t>
            </w:r>
          </w:p>
        </w:tc>
        <w:tc>
          <w:tcPr>
            <w:tcW w:w="1987" w:type="dxa"/>
          </w:tcPr>
          <w:p w14:paraId="5E773760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n/a</w:t>
            </w:r>
          </w:p>
        </w:tc>
        <w:tc>
          <w:tcPr>
            <w:tcW w:w="1987" w:type="dxa"/>
          </w:tcPr>
          <w:p w14:paraId="1E943F49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n/a</w:t>
            </w:r>
          </w:p>
        </w:tc>
      </w:tr>
    </w:tbl>
    <w:p w14:paraId="6BA72D83" w14:textId="77777777" w:rsidR="0068089B" w:rsidRPr="002550CA" w:rsidRDefault="00000000">
      <w:pPr>
        <w:spacing w:before="200" w:after="80"/>
        <w:rPr>
          <w:color w:val="000000" w:themeColor="text1"/>
        </w:rPr>
      </w:pPr>
      <w:r w:rsidRPr="002550CA">
        <w:rPr>
          <w:b/>
          <w:color w:val="000000" w:themeColor="text1"/>
          <w:sz w:val="18"/>
        </w:rPr>
        <w:t>Supplementary Table S4. Window-level classification performance on held-out simulated test episodes.</w:t>
      </w:r>
    </w:p>
    <w:tbl>
      <w:tblPr>
        <w:tblW w:w="0" w:type="auto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656"/>
        <w:gridCol w:w="1654"/>
        <w:gridCol w:w="1654"/>
        <w:gridCol w:w="1654"/>
        <w:gridCol w:w="1654"/>
        <w:gridCol w:w="1654"/>
      </w:tblGrid>
      <w:tr w:rsidR="0068089B" w:rsidRPr="002550CA" w14:paraId="671389D8" w14:textId="77777777">
        <w:trPr>
          <w:jc w:val="center"/>
        </w:trPr>
        <w:tc>
          <w:tcPr>
            <w:tcW w:w="1656" w:type="dxa"/>
          </w:tcPr>
          <w:p w14:paraId="0789EEA8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b/>
                <w:color w:val="000000" w:themeColor="text1"/>
                <w:sz w:val="15"/>
              </w:rPr>
              <w:t>Model / Class</w:t>
            </w:r>
          </w:p>
        </w:tc>
        <w:tc>
          <w:tcPr>
            <w:tcW w:w="1656" w:type="dxa"/>
          </w:tcPr>
          <w:p w14:paraId="51956471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b/>
                <w:color w:val="000000" w:themeColor="text1"/>
                <w:sz w:val="15"/>
              </w:rPr>
              <w:t>Precision</w:t>
            </w:r>
          </w:p>
        </w:tc>
        <w:tc>
          <w:tcPr>
            <w:tcW w:w="1656" w:type="dxa"/>
          </w:tcPr>
          <w:p w14:paraId="6B3B32D7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b/>
                <w:color w:val="000000" w:themeColor="text1"/>
                <w:sz w:val="15"/>
              </w:rPr>
              <w:t>Recall</w:t>
            </w:r>
          </w:p>
        </w:tc>
        <w:tc>
          <w:tcPr>
            <w:tcW w:w="1656" w:type="dxa"/>
          </w:tcPr>
          <w:p w14:paraId="591A629B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b/>
                <w:color w:val="000000" w:themeColor="text1"/>
                <w:sz w:val="15"/>
              </w:rPr>
              <w:t>F1</w:t>
            </w:r>
          </w:p>
        </w:tc>
        <w:tc>
          <w:tcPr>
            <w:tcW w:w="1656" w:type="dxa"/>
          </w:tcPr>
          <w:p w14:paraId="6445C1ED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b/>
                <w:color w:val="000000" w:themeColor="text1"/>
                <w:sz w:val="15"/>
              </w:rPr>
              <w:t>Support</w:t>
            </w:r>
          </w:p>
        </w:tc>
        <w:tc>
          <w:tcPr>
            <w:tcW w:w="1656" w:type="dxa"/>
          </w:tcPr>
          <w:p w14:paraId="632D9755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b/>
                <w:color w:val="000000" w:themeColor="text1"/>
                <w:sz w:val="15"/>
              </w:rPr>
              <w:t>Accuracy</w:t>
            </w:r>
          </w:p>
        </w:tc>
      </w:tr>
      <w:tr w:rsidR="0068089B" w:rsidRPr="002550CA" w14:paraId="12F8A21C" w14:textId="77777777">
        <w:trPr>
          <w:jc w:val="center"/>
        </w:trPr>
        <w:tc>
          <w:tcPr>
            <w:tcW w:w="1656" w:type="dxa"/>
          </w:tcPr>
          <w:p w14:paraId="739C07DF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Physics-informed – Normal</w:t>
            </w:r>
          </w:p>
        </w:tc>
        <w:tc>
          <w:tcPr>
            <w:tcW w:w="1656" w:type="dxa"/>
          </w:tcPr>
          <w:p w14:paraId="43E6DF23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0.997</w:t>
            </w:r>
          </w:p>
        </w:tc>
        <w:tc>
          <w:tcPr>
            <w:tcW w:w="1656" w:type="dxa"/>
          </w:tcPr>
          <w:p w14:paraId="0B0B1590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0.985</w:t>
            </w:r>
          </w:p>
        </w:tc>
        <w:tc>
          <w:tcPr>
            <w:tcW w:w="1656" w:type="dxa"/>
          </w:tcPr>
          <w:p w14:paraId="4346F29B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0.991</w:t>
            </w:r>
          </w:p>
        </w:tc>
        <w:tc>
          <w:tcPr>
            <w:tcW w:w="1656" w:type="dxa"/>
          </w:tcPr>
          <w:p w14:paraId="13D5EE1E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2,785</w:t>
            </w:r>
          </w:p>
        </w:tc>
        <w:tc>
          <w:tcPr>
            <w:tcW w:w="1656" w:type="dxa"/>
          </w:tcPr>
          <w:p w14:paraId="111CA528" w14:textId="77777777" w:rsidR="0068089B" w:rsidRPr="002550CA" w:rsidRDefault="0068089B">
            <w:pPr>
              <w:jc w:val="center"/>
              <w:rPr>
                <w:color w:val="000000" w:themeColor="text1"/>
              </w:rPr>
            </w:pPr>
          </w:p>
        </w:tc>
      </w:tr>
      <w:tr w:rsidR="0068089B" w:rsidRPr="002550CA" w14:paraId="70E70F91" w14:textId="77777777">
        <w:trPr>
          <w:jc w:val="center"/>
        </w:trPr>
        <w:tc>
          <w:tcPr>
            <w:tcW w:w="1656" w:type="dxa"/>
          </w:tcPr>
          <w:p w14:paraId="676FD6F3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Physics-informed – Suspected</w:t>
            </w:r>
          </w:p>
        </w:tc>
        <w:tc>
          <w:tcPr>
            <w:tcW w:w="1656" w:type="dxa"/>
          </w:tcPr>
          <w:p w14:paraId="48960CC2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0.531</w:t>
            </w:r>
          </w:p>
        </w:tc>
        <w:tc>
          <w:tcPr>
            <w:tcW w:w="1656" w:type="dxa"/>
          </w:tcPr>
          <w:p w14:paraId="3F743835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0.879</w:t>
            </w:r>
          </w:p>
        </w:tc>
        <w:tc>
          <w:tcPr>
            <w:tcW w:w="1656" w:type="dxa"/>
          </w:tcPr>
          <w:p w14:paraId="689D18E7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0.662</w:t>
            </w:r>
          </w:p>
        </w:tc>
        <w:tc>
          <w:tcPr>
            <w:tcW w:w="1656" w:type="dxa"/>
          </w:tcPr>
          <w:p w14:paraId="6DD132FA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58</w:t>
            </w:r>
          </w:p>
        </w:tc>
        <w:tc>
          <w:tcPr>
            <w:tcW w:w="1656" w:type="dxa"/>
          </w:tcPr>
          <w:p w14:paraId="0D9D9197" w14:textId="77777777" w:rsidR="0068089B" w:rsidRPr="002550CA" w:rsidRDefault="0068089B">
            <w:pPr>
              <w:jc w:val="center"/>
              <w:rPr>
                <w:color w:val="000000" w:themeColor="text1"/>
              </w:rPr>
            </w:pPr>
          </w:p>
        </w:tc>
      </w:tr>
      <w:tr w:rsidR="0068089B" w:rsidRPr="002550CA" w14:paraId="6A129301" w14:textId="77777777">
        <w:trPr>
          <w:jc w:val="center"/>
        </w:trPr>
        <w:tc>
          <w:tcPr>
            <w:tcW w:w="1656" w:type="dxa"/>
          </w:tcPr>
          <w:p w14:paraId="6B4D12FA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Physics-informed – Active fire</w:t>
            </w:r>
          </w:p>
        </w:tc>
        <w:tc>
          <w:tcPr>
            <w:tcW w:w="1656" w:type="dxa"/>
          </w:tcPr>
          <w:p w14:paraId="06DDF0D8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1.000</w:t>
            </w:r>
          </w:p>
        </w:tc>
        <w:tc>
          <w:tcPr>
            <w:tcW w:w="1656" w:type="dxa"/>
          </w:tcPr>
          <w:p w14:paraId="0B6D30DD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0.995</w:t>
            </w:r>
          </w:p>
        </w:tc>
        <w:tc>
          <w:tcPr>
            <w:tcW w:w="1656" w:type="dxa"/>
          </w:tcPr>
          <w:p w14:paraId="76F85012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0.997</w:t>
            </w:r>
          </w:p>
        </w:tc>
        <w:tc>
          <w:tcPr>
            <w:tcW w:w="1656" w:type="dxa"/>
          </w:tcPr>
          <w:p w14:paraId="2F24AED0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549</w:t>
            </w:r>
          </w:p>
        </w:tc>
        <w:tc>
          <w:tcPr>
            <w:tcW w:w="1656" w:type="dxa"/>
          </w:tcPr>
          <w:p w14:paraId="2D53272C" w14:textId="77777777" w:rsidR="0068089B" w:rsidRPr="002550CA" w:rsidRDefault="0068089B">
            <w:pPr>
              <w:jc w:val="center"/>
              <w:rPr>
                <w:color w:val="000000" w:themeColor="text1"/>
              </w:rPr>
            </w:pPr>
          </w:p>
        </w:tc>
      </w:tr>
      <w:tr w:rsidR="0068089B" w:rsidRPr="002550CA" w14:paraId="1756AACA" w14:textId="77777777">
        <w:trPr>
          <w:jc w:val="center"/>
        </w:trPr>
        <w:tc>
          <w:tcPr>
            <w:tcW w:w="1656" w:type="dxa"/>
          </w:tcPr>
          <w:p w14:paraId="659E8D44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Physics-informed – overall</w:t>
            </w:r>
          </w:p>
        </w:tc>
        <w:tc>
          <w:tcPr>
            <w:tcW w:w="1656" w:type="dxa"/>
          </w:tcPr>
          <w:p w14:paraId="0E9E45DE" w14:textId="77777777" w:rsidR="0068089B" w:rsidRPr="002550CA" w:rsidRDefault="0068089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56" w:type="dxa"/>
          </w:tcPr>
          <w:p w14:paraId="68EB1928" w14:textId="77777777" w:rsidR="0068089B" w:rsidRPr="002550CA" w:rsidRDefault="0068089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56" w:type="dxa"/>
          </w:tcPr>
          <w:p w14:paraId="1E3106A0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0.884 (macro)</w:t>
            </w:r>
          </w:p>
        </w:tc>
        <w:tc>
          <w:tcPr>
            <w:tcW w:w="1656" w:type="dxa"/>
          </w:tcPr>
          <w:p w14:paraId="59D7DB99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3,392</w:t>
            </w:r>
          </w:p>
        </w:tc>
        <w:tc>
          <w:tcPr>
            <w:tcW w:w="1656" w:type="dxa"/>
          </w:tcPr>
          <w:p w14:paraId="4910749E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0.985</w:t>
            </w:r>
          </w:p>
        </w:tc>
      </w:tr>
      <w:tr w:rsidR="0068089B" w:rsidRPr="002550CA" w14:paraId="7AD168C8" w14:textId="77777777">
        <w:trPr>
          <w:jc w:val="center"/>
        </w:trPr>
        <w:tc>
          <w:tcPr>
            <w:tcW w:w="1656" w:type="dxa"/>
          </w:tcPr>
          <w:p w14:paraId="72E2D59B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Raw gases only – Normal</w:t>
            </w:r>
          </w:p>
        </w:tc>
        <w:tc>
          <w:tcPr>
            <w:tcW w:w="1656" w:type="dxa"/>
          </w:tcPr>
          <w:p w14:paraId="03298D6E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0.995</w:t>
            </w:r>
          </w:p>
        </w:tc>
        <w:tc>
          <w:tcPr>
            <w:tcW w:w="1656" w:type="dxa"/>
          </w:tcPr>
          <w:p w14:paraId="6C235AA6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0.987</w:t>
            </w:r>
          </w:p>
        </w:tc>
        <w:tc>
          <w:tcPr>
            <w:tcW w:w="1656" w:type="dxa"/>
          </w:tcPr>
          <w:p w14:paraId="23597A29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0.991</w:t>
            </w:r>
          </w:p>
        </w:tc>
        <w:tc>
          <w:tcPr>
            <w:tcW w:w="1656" w:type="dxa"/>
          </w:tcPr>
          <w:p w14:paraId="3AB037DC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2,785</w:t>
            </w:r>
          </w:p>
        </w:tc>
        <w:tc>
          <w:tcPr>
            <w:tcW w:w="1656" w:type="dxa"/>
          </w:tcPr>
          <w:p w14:paraId="155BB8E8" w14:textId="77777777" w:rsidR="0068089B" w:rsidRPr="002550CA" w:rsidRDefault="0068089B">
            <w:pPr>
              <w:jc w:val="center"/>
              <w:rPr>
                <w:color w:val="000000" w:themeColor="text1"/>
              </w:rPr>
            </w:pPr>
          </w:p>
        </w:tc>
      </w:tr>
      <w:tr w:rsidR="0068089B" w:rsidRPr="002550CA" w14:paraId="662C32A2" w14:textId="77777777">
        <w:trPr>
          <w:jc w:val="center"/>
        </w:trPr>
        <w:tc>
          <w:tcPr>
            <w:tcW w:w="1656" w:type="dxa"/>
          </w:tcPr>
          <w:p w14:paraId="4EADABF4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Raw gases only – Suspected</w:t>
            </w:r>
          </w:p>
        </w:tc>
        <w:tc>
          <w:tcPr>
            <w:tcW w:w="1656" w:type="dxa"/>
          </w:tcPr>
          <w:p w14:paraId="77AA8DAC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0.542</w:t>
            </w:r>
          </w:p>
        </w:tc>
        <w:tc>
          <w:tcPr>
            <w:tcW w:w="1656" w:type="dxa"/>
          </w:tcPr>
          <w:p w14:paraId="6509FE1C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0.776</w:t>
            </w:r>
          </w:p>
        </w:tc>
        <w:tc>
          <w:tcPr>
            <w:tcW w:w="1656" w:type="dxa"/>
          </w:tcPr>
          <w:p w14:paraId="4B667753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0.638</w:t>
            </w:r>
          </w:p>
        </w:tc>
        <w:tc>
          <w:tcPr>
            <w:tcW w:w="1656" w:type="dxa"/>
          </w:tcPr>
          <w:p w14:paraId="34FC8E5C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58</w:t>
            </w:r>
          </w:p>
        </w:tc>
        <w:tc>
          <w:tcPr>
            <w:tcW w:w="1656" w:type="dxa"/>
          </w:tcPr>
          <w:p w14:paraId="57EE25C7" w14:textId="77777777" w:rsidR="0068089B" w:rsidRPr="002550CA" w:rsidRDefault="0068089B">
            <w:pPr>
              <w:jc w:val="center"/>
              <w:rPr>
                <w:color w:val="000000" w:themeColor="text1"/>
              </w:rPr>
            </w:pPr>
          </w:p>
        </w:tc>
      </w:tr>
      <w:tr w:rsidR="0068089B" w:rsidRPr="002550CA" w14:paraId="021EEC21" w14:textId="77777777">
        <w:trPr>
          <w:jc w:val="center"/>
        </w:trPr>
        <w:tc>
          <w:tcPr>
            <w:tcW w:w="1656" w:type="dxa"/>
          </w:tcPr>
          <w:p w14:paraId="489F6DE8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Raw gases only – Active fire</w:t>
            </w:r>
          </w:p>
        </w:tc>
        <w:tc>
          <w:tcPr>
            <w:tcW w:w="1656" w:type="dxa"/>
          </w:tcPr>
          <w:p w14:paraId="27483D31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1.000</w:t>
            </w:r>
          </w:p>
        </w:tc>
        <w:tc>
          <w:tcPr>
            <w:tcW w:w="1656" w:type="dxa"/>
          </w:tcPr>
          <w:p w14:paraId="19604776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0.995</w:t>
            </w:r>
          </w:p>
        </w:tc>
        <w:tc>
          <w:tcPr>
            <w:tcW w:w="1656" w:type="dxa"/>
          </w:tcPr>
          <w:p w14:paraId="1DA2385C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0.997</w:t>
            </w:r>
          </w:p>
        </w:tc>
        <w:tc>
          <w:tcPr>
            <w:tcW w:w="1656" w:type="dxa"/>
          </w:tcPr>
          <w:p w14:paraId="7358E7A0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549</w:t>
            </w:r>
          </w:p>
        </w:tc>
        <w:tc>
          <w:tcPr>
            <w:tcW w:w="1656" w:type="dxa"/>
          </w:tcPr>
          <w:p w14:paraId="34BAECE5" w14:textId="77777777" w:rsidR="0068089B" w:rsidRPr="002550CA" w:rsidRDefault="0068089B">
            <w:pPr>
              <w:jc w:val="center"/>
              <w:rPr>
                <w:color w:val="000000" w:themeColor="text1"/>
              </w:rPr>
            </w:pPr>
          </w:p>
        </w:tc>
      </w:tr>
      <w:tr w:rsidR="0068089B" w:rsidRPr="002550CA" w14:paraId="3ED0CE1D" w14:textId="77777777">
        <w:trPr>
          <w:jc w:val="center"/>
        </w:trPr>
        <w:tc>
          <w:tcPr>
            <w:tcW w:w="1656" w:type="dxa"/>
          </w:tcPr>
          <w:p w14:paraId="775566C8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Raw gases only – overall</w:t>
            </w:r>
          </w:p>
        </w:tc>
        <w:tc>
          <w:tcPr>
            <w:tcW w:w="1656" w:type="dxa"/>
          </w:tcPr>
          <w:p w14:paraId="2254FABA" w14:textId="77777777" w:rsidR="0068089B" w:rsidRPr="002550CA" w:rsidRDefault="0068089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56" w:type="dxa"/>
          </w:tcPr>
          <w:p w14:paraId="3123638C" w14:textId="77777777" w:rsidR="0068089B" w:rsidRPr="002550CA" w:rsidRDefault="0068089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56" w:type="dxa"/>
          </w:tcPr>
          <w:p w14:paraId="35AED19E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0.876 (macro)</w:t>
            </w:r>
          </w:p>
        </w:tc>
        <w:tc>
          <w:tcPr>
            <w:tcW w:w="1656" w:type="dxa"/>
          </w:tcPr>
          <w:p w14:paraId="0EAC797C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3,392</w:t>
            </w:r>
          </w:p>
        </w:tc>
        <w:tc>
          <w:tcPr>
            <w:tcW w:w="1656" w:type="dxa"/>
          </w:tcPr>
          <w:p w14:paraId="09BD50C8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0.985</w:t>
            </w:r>
          </w:p>
        </w:tc>
      </w:tr>
    </w:tbl>
    <w:p w14:paraId="56F4255B" w14:textId="77777777" w:rsidR="002550CA" w:rsidRDefault="002550CA">
      <w:pPr>
        <w:spacing w:before="200" w:after="80"/>
        <w:rPr>
          <w:b/>
          <w:color w:val="000000" w:themeColor="text1"/>
          <w:sz w:val="18"/>
        </w:rPr>
      </w:pPr>
    </w:p>
    <w:p w14:paraId="6B8016FC" w14:textId="2A1DDEAC" w:rsidR="0068089B" w:rsidRPr="002550CA" w:rsidRDefault="00000000">
      <w:pPr>
        <w:spacing w:before="200" w:after="80"/>
        <w:rPr>
          <w:color w:val="000000" w:themeColor="text1"/>
        </w:rPr>
      </w:pPr>
      <w:r w:rsidRPr="002550CA">
        <w:rPr>
          <w:b/>
          <w:color w:val="000000" w:themeColor="text1"/>
          <w:sz w:val="18"/>
        </w:rPr>
        <w:lastRenderedPageBreak/>
        <w:t>Supplementary Table S5. Permutation importance for the physics-informed model.</w:t>
      </w:r>
    </w:p>
    <w:tbl>
      <w:tblPr>
        <w:tblW w:w="0" w:type="auto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481"/>
        <w:gridCol w:w="2482"/>
        <w:gridCol w:w="2482"/>
        <w:gridCol w:w="2481"/>
      </w:tblGrid>
      <w:tr w:rsidR="0068089B" w:rsidRPr="002550CA" w14:paraId="237B7CD7" w14:textId="77777777">
        <w:trPr>
          <w:jc w:val="center"/>
        </w:trPr>
        <w:tc>
          <w:tcPr>
            <w:tcW w:w="2484" w:type="dxa"/>
          </w:tcPr>
          <w:p w14:paraId="2BFEA354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b/>
                <w:color w:val="000000" w:themeColor="text1"/>
                <w:sz w:val="15"/>
              </w:rPr>
              <w:t>Channel</w:t>
            </w:r>
          </w:p>
        </w:tc>
        <w:tc>
          <w:tcPr>
            <w:tcW w:w="2484" w:type="dxa"/>
          </w:tcPr>
          <w:p w14:paraId="62CCA900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b/>
                <w:color w:val="000000" w:themeColor="text1"/>
                <w:sz w:val="15"/>
              </w:rPr>
              <w:t>Type</w:t>
            </w:r>
          </w:p>
        </w:tc>
        <w:tc>
          <w:tcPr>
            <w:tcW w:w="2484" w:type="dxa"/>
          </w:tcPr>
          <w:p w14:paraId="607C5CE2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b/>
                <w:color w:val="000000" w:themeColor="text1"/>
                <w:sz w:val="15"/>
              </w:rPr>
              <w:t>Δ macro-F1 when permuted</w:t>
            </w:r>
          </w:p>
        </w:tc>
        <w:tc>
          <w:tcPr>
            <w:tcW w:w="2484" w:type="dxa"/>
          </w:tcPr>
          <w:p w14:paraId="1E043BEC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b/>
                <w:color w:val="000000" w:themeColor="text1"/>
                <w:sz w:val="15"/>
              </w:rPr>
              <w:t>Rank</w:t>
            </w:r>
          </w:p>
        </w:tc>
      </w:tr>
      <w:tr w:rsidR="0068089B" w:rsidRPr="002550CA" w14:paraId="09938C36" w14:textId="77777777">
        <w:trPr>
          <w:jc w:val="center"/>
        </w:trPr>
        <w:tc>
          <w:tcPr>
            <w:tcW w:w="2484" w:type="dxa"/>
          </w:tcPr>
          <w:p w14:paraId="53710F1C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CO</w:t>
            </w:r>
          </w:p>
        </w:tc>
        <w:tc>
          <w:tcPr>
            <w:tcW w:w="2484" w:type="dxa"/>
          </w:tcPr>
          <w:p w14:paraId="335D7832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Measured gas</w:t>
            </w:r>
          </w:p>
        </w:tc>
        <w:tc>
          <w:tcPr>
            <w:tcW w:w="2484" w:type="dxa"/>
          </w:tcPr>
          <w:p w14:paraId="23D8D388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0.245</w:t>
            </w:r>
          </w:p>
        </w:tc>
        <w:tc>
          <w:tcPr>
            <w:tcW w:w="2484" w:type="dxa"/>
          </w:tcPr>
          <w:p w14:paraId="5037D92E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1</w:t>
            </w:r>
          </w:p>
        </w:tc>
      </w:tr>
      <w:tr w:rsidR="0068089B" w:rsidRPr="002550CA" w14:paraId="6950C778" w14:textId="77777777">
        <w:trPr>
          <w:jc w:val="center"/>
        </w:trPr>
        <w:tc>
          <w:tcPr>
            <w:tcW w:w="2484" w:type="dxa"/>
          </w:tcPr>
          <w:p w14:paraId="7C76A691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ΔO2</w:t>
            </w:r>
          </w:p>
        </w:tc>
        <w:tc>
          <w:tcPr>
            <w:tcW w:w="2484" w:type="dxa"/>
          </w:tcPr>
          <w:p w14:paraId="6EE0F64B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Derived index</w:t>
            </w:r>
          </w:p>
        </w:tc>
        <w:tc>
          <w:tcPr>
            <w:tcW w:w="2484" w:type="dxa"/>
          </w:tcPr>
          <w:p w14:paraId="4755918F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0.193</w:t>
            </w:r>
          </w:p>
        </w:tc>
        <w:tc>
          <w:tcPr>
            <w:tcW w:w="2484" w:type="dxa"/>
          </w:tcPr>
          <w:p w14:paraId="38BDED99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2</w:t>
            </w:r>
          </w:p>
        </w:tc>
      </w:tr>
      <w:tr w:rsidR="0068089B" w:rsidRPr="002550CA" w14:paraId="0A6E0126" w14:textId="77777777">
        <w:trPr>
          <w:jc w:val="center"/>
        </w:trPr>
        <w:tc>
          <w:tcPr>
            <w:tcW w:w="2484" w:type="dxa"/>
          </w:tcPr>
          <w:p w14:paraId="5B012BF8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CO2</w:t>
            </w:r>
          </w:p>
        </w:tc>
        <w:tc>
          <w:tcPr>
            <w:tcW w:w="2484" w:type="dxa"/>
          </w:tcPr>
          <w:p w14:paraId="5700C014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Measured gas</w:t>
            </w:r>
          </w:p>
        </w:tc>
        <w:tc>
          <w:tcPr>
            <w:tcW w:w="2484" w:type="dxa"/>
          </w:tcPr>
          <w:p w14:paraId="52D5AA30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0.150</w:t>
            </w:r>
          </w:p>
        </w:tc>
        <w:tc>
          <w:tcPr>
            <w:tcW w:w="2484" w:type="dxa"/>
          </w:tcPr>
          <w:p w14:paraId="69EED4FE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3</w:t>
            </w:r>
          </w:p>
        </w:tc>
      </w:tr>
      <w:tr w:rsidR="0068089B" w:rsidRPr="002550CA" w14:paraId="4A2B1417" w14:textId="77777777">
        <w:trPr>
          <w:jc w:val="center"/>
        </w:trPr>
        <w:tc>
          <w:tcPr>
            <w:tcW w:w="2484" w:type="dxa"/>
          </w:tcPr>
          <w:p w14:paraId="392EBF5C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H2</w:t>
            </w:r>
          </w:p>
        </w:tc>
        <w:tc>
          <w:tcPr>
            <w:tcW w:w="2484" w:type="dxa"/>
          </w:tcPr>
          <w:p w14:paraId="516FFADF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Measured gas</w:t>
            </w:r>
          </w:p>
        </w:tc>
        <w:tc>
          <w:tcPr>
            <w:tcW w:w="2484" w:type="dxa"/>
          </w:tcPr>
          <w:p w14:paraId="4FF81DAB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0.150</w:t>
            </w:r>
          </w:p>
        </w:tc>
        <w:tc>
          <w:tcPr>
            <w:tcW w:w="2484" w:type="dxa"/>
          </w:tcPr>
          <w:p w14:paraId="7C970F18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4</w:t>
            </w:r>
          </w:p>
        </w:tc>
      </w:tr>
      <w:tr w:rsidR="0068089B" w:rsidRPr="002550CA" w14:paraId="7DE9CB4A" w14:textId="77777777">
        <w:trPr>
          <w:jc w:val="center"/>
        </w:trPr>
        <w:tc>
          <w:tcPr>
            <w:tcW w:w="2484" w:type="dxa"/>
          </w:tcPr>
          <w:p w14:paraId="71AE804F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CO/CO2</w:t>
            </w:r>
          </w:p>
        </w:tc>
        <w:tc>
          <w:tcPr>
            <w:tcW w:w="2484" w:type="dxa"/>
          </w:tcPr>
          <w:p w14:paraId="4E7D3B41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Derived index</w:t>
            </w:r>
          </w:p>
        </w:tc>
        <w:tc>
          <w:tcPr>
            <w:tcW w:w="2484" w:type="dxa"/>
          </w:tcPr>
          <w:p w14:paraId="3556FD50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0.147</w:t>
            </w:r>
          </w:p>
        </w:tc>
        <w:tc>
          <w:tcPr>
            <w:tcW w:w="2484" w:type="dxa"/>
          </w:tcPr>
          <w:p w14:paraId="6540B197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5</w:t>
            </w:r>
          </w:p>
        </w:tc>
      </w:tr>
      <w:tr w:rsidR="0068089B" w:rsidRPr="002550CA" w14:paraId="1D991861" w14:textId="77777777">
        <w:trPr>
          <w:jc w:val="center"/>
        </w:trPr>
        <w:tc>
          <w:tcPr>
            <w:tcW w:w="2484" w:type="dxa"/>
          </w:tcPr>
          <w:p w14:paraId="0D28C322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O2</w:t>
            </w:r>
          </w:p>
        </w:tc>
        <w:tc>
          <w:tcPr>
            <w:tcW w:w="2484" w:type="dxa"/>
          </w:tcPr>
          <w:p w14:paraId="6FD29C62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Measured gas</w:t>
            </w:r>
          </w:p>
        </w:tc>
        <w:tc>
          <w:tcPr>
            <w:tcW w:w="2484" w:type="dxa"/>
          </w:tcPr>
          <w:p w14:paraId="7DC63BCE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0.135</w:t>
            </w:r>
          </w:p>
        </w:tc>
        <w:tc>
          <w:tcPr>
            <w:tcW w:w="2484" w:type="dxa"/>
          </w:tcPr>
          <w:p w14:paraId="38F156BB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6</w:t>
            </w:r>
          </w:p>
        </w:tc>
      </w:tr>
      <w:tr w:rsidR="0068089B" w:rsidRPr="002550CA" w14:paraId="5BCB1C1F" w14:textId="77777777">
        <w:trPr>
          <w:jc w:val="center"/>
        </w:trPr>
        <w:tc>
          <w:tcPr>
            <w:tcW w:w="2484" w:type="dxa"/>
          </w:tcPr>
          <w:p w14:paraId="15490FEA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C2H4</w:t>
            </w:r>
          </w:p>
        </w:tc>
        <w:tc>
          <w:tcPr>
            <w:tcW w:w="2484" w:type="dxa"/>
          </w:tcPr>
          <w:p w14:paraId="2EF45335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Measured gas</w:t>
            </w:r>
          </w:p>
        </w:tc>
        <w:tc>
          <w:tcPr>
            <w:tcW w:w="2484" w:type="dxa"/>
          </w:tcPr>
          <w:p w14:paraId="6E28F1DE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0.054</w:t>
            </w:r>
          </w:p>
        </w:tc>
        <w:tc>
          <w:tcPr>
            <w:tcW w:w="2484" w:type="dxa"/>
          </w:tcPr>
          <w:p w14:paraId="33D3B4C8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7</w:t>
            </w:r>
          </w:p>
        </w:tc>
      </w:tr>
      <w:tr w:rsidR="0068089B" w:rsidRPr="002550CA" w14:paraId="5138AD83" w14:textId="77777777">
        <w:trPr>
          <w:jc w:val="center"/>
        </w:trPr>
        <w:tc>
          <w:tcPr>
            <w:tcW w:w="2484" w:type="dxa"/>
          </w:tcPr>
          <w:p w14:paraId="1A02A555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G1</w:t>
            </w:r>
          </w:p>
        </w:tc>
        <w:tc>
          <w:tcPr>
            <w:tcW w:w="2484" w:type="dxa"/>
          </w:tcPr>
          <w:p w14:paraId="728D8013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Derived index</w:t>
            </w:r>
          </w:p>
        </w:tc>
        <w:tc>
          <w:tcPr>
            <w:tcW w:w="2484" w:type="dxa"/>
          </w:tcPr>
          <w:p w14:paraId="39773CB5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0.000</w:t>
            </w:r>
          </w:p>
        </w:tc>
        <w:tc>
          <w:tcPr>
            <w:tcW w:w="2484" w:type="dxa"/>
          </w:tcPr>
          <w:p w14:paraId="2E60C37F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8</w:t>
            </w:r>
          </w:p>
        </w:tc>
      </w:tr>
      <w:tr w:rsidR="0068089B" w:rsidRPr="002550CA" w14:paraId="2587AFB6" w14:textId="77777777">
        <w:trPr>
          <w:jc w:val="center"/>
        </w:trPr>
        <w:tc>
          <w:tcPr>
            <w:tcW w:w="2484" w:type="dxa"/>
          </w:tcPr>
          <w:p w14:paraId="06655448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TR</w:t>
            </w:r>
          </w:p>
        </w:tc>
        <w:tc>
          <w:tcPr>
            <w:tcW w:w="2484" w:type="dxa"/>
          </w:tcPr>
          <w:p w14:paraId="785F11E3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Derived index</w:t>
            </w:r>
          </w:p>
        </w:tc>
        <w:tc>
          <w:tcPr>
            <w:tcW w:w="2484" w:type="dxa"/>
          </w:tcPr>
          <w:p w14:paraId="723E3975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−0.002</w:t>
            </w:r>
          </w:p>
        </w:tc>
        <w:tc>
          <w:tcPr>
            <w:tcW w:w="2484" w:type="dxa"/>
          </w:tcPr>
          <w:p w14:paraId="582F316B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9</w:t>
            </w:r>
          </w:p>
        </w:tc>
      </w:tr>
      <w:tr w:rsidR="0068089B" w:rsidRPr="002550CA" w14:paraId="64B74892" w14:textId="77777777">
        <w:trPr>
          <w:jc w:val="center"/>
        </w:trPr>
        <w:tc>
          <w:tcPr>
            <w:tcW w:w="2484" w:type="dxa"/>
          </w:tcPr>
          <w:p w14:paraId="616CAACA" w14:textId="77777777" w:rsidR="0068089B" w:rsidRPr="002550CA" w:rsidRDefault="00000000">
            <w:pPr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CH4</w:t>
            </w:r>
          </w:p>
        </w:tc>
        <w:tc>
          <w:tcPr>
            <w:tcW w:w="2484" w:type="dxa"/>
          </w:tcPr>
          <w:p w14:paraId="20E0E0C6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Measured gas</w:t>
            </w:r>
          </w:p>
        </w:tc>
        <w:tc>
          <w:tcPr>
            <w:tcW w:w="2484" w:type="dxa"/>
          </w:tcPr>
          <w:p w14:paraId="6E1BDA27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−0.009</w:t>
            </w:r>
          </w:p>
        </w:tc>
        <w:tc>
          <w:tcPr>
            <w:tcW w:w="2484" w:type="dxa"/>
          </w:tcPr>
          <w:p w14:paraId="3D8CFC49" w14:textId="77777777" w:rsidR="0068089B" w:rsidRPr="002550CA" w:rsidRDefault="00000000">
            <w:pPr>
              <w:jc w:val="center"/>
              <w:rPr>
                <w:color w:val="000000" w:themeColor="text1"/>
              </w:rPr>
            </w:pPr>
            <w:r w:rsidRPr="002550CA">
              <w:rPr>
                <w:color w:val="000000" w:themeColor="text1"/>
                <w:sz w:val="15"/>
              </w:rPr>
              <w:t>10</w:t>
            </w:r>
          </w:p>
        </w:tc>
      </w:tr>
    </w:tbl>
    <w:p w14:paraId="6667F0E3" w14:textId="77777777" w:rsidR="0068089B" w:rsidRPr="002550CA" w:rsidRDefault="00000000">
      <w:pPr>
        <w:rPr>
          <w:color w:val="000000" w:themeColor="text1"/>
        </w:rPr>
      </w:pPr>
      <w:r w:rsidRPr="002550CA">
        <w:rPr>
          <w:color w:val="000000" w:themeColor="text1"/>
        </w:rPr>
        <w:br w:type="page"/>
      </w:r>
    </w:p>
    <w:p w14:paraId="3C912B3A" w14:textId="77777777" w:rsidR="0068089B" w:rsidRPr="002550CA" w:rsidRDefault="00000000">
      <w:pPr>
        <w:spacing w:before="240" w:after="120"/>
        <w:rPr>
          <w:color w:val="000000" w:themeColor="text1"/>
        </w:rPr>
      </w:pPr>
      <w:r w:rsidRPr="002550CA">
        <w:rPr>
          <w:b/>
          <w:color w:val="000000" w:themeColor="text1"/>
          <w:sz w:val="26"/>
        </w:rPr>
        <w:lastRenderedPageBreak/>
        <w:t>Supplementary Figures</w:t>
      </w:r>
    </w:p>
    <w:p w14:paraId="28342617" w14:textId="77777777" w:rsidR="0068089B" w:rsidRDefault="00000000">
      <w:pPr>
        <w:spacing w:after="60"/>
        <w:jc w:val="center"/>
      </w:pPr>
      <w:r>
        <w:rPr>
          <w:noProof/>
        </w:rPr>
        <w:drawing>
          <wp:inline distT="0" distB="0" distL="0" distR="0" wp14:anchorId="7BEE69D0" wp14:editId="045E5C15">
            <wp:extent cx="5120640" cy="392979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pplFigureS1_example_episode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20640" cy="3929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A607E9" w14:textId="77777777" w:rsidR="0068089B" w:rsidRDefault="00000000">
      <w:pPr>
        <w:spacing w:after="240"/>
      </w:pPr>
      <w:r>
        <w:rPr>
          <w:sz w:val="18"/>
        </w:rPr>
        <w:t>Supplementary Figure S1. A representative simulated test episode: latent coal temperature, carbon monoxide and methane, and the oxygen-carbon dioxide response.</w:t>
      </w:r>
    </w:p>
    <w:p w14:paraId="438A6164" w14:textId="77777777" w:rsidR="0068089B" w:rsidRDefault="00000000">
      <w:pPr>
        <w:spacing w:after="60"/>
        <w:jc w:val="center"/>
      </w:pPr>
      <w:r>
        <w:rPr>
          <w:noProof/>
        </w:rPr>
        <w:drawing>
          <wp:inline distT="0" distB="0" distL="0" distR="0" wp14:anchorId="32FF4D59" wp14:editId="07472042">
            <wp:extent cx="5120640" cy="321528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pplFigureS2_index_trajectories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20640" cy="3215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C71AD0" w14:textId="77777777" w:rsidR="0068089B" w:rsidRDefault="00000000">
      <w:pPr>
        <w:spacing w:after="240"/>
      </w:pPr>
      <w:r>
        <w:rPr>
          <w:sz w:val="18"/>
        </w:rPr>
        <w:t>Supplementary Figure S2. Index trajectories for the episode of Supplementary Fig. S1. The Jones-Trickett panel is shaded by the conventional fuel-identification bands.</w:t>
      </w:r>
    </w:p>
    <w:p w14:paraId="275C5D1B" w14:textId="77777777" w:rsidR="0068089B" w:rsidRDefault="00000000">
      <w:pPr>
        <w:spacing w:after="60"/>
        <w:jc w:val="center"/>
      </w:pPr>
      <w:r>
        <w:rPr>
          <w:noProof/>
        </w:rPr>
        <w:lastRenderedPageBreak/>
        <w:drawing>
          <wp:inline distT="0" distB="0" distL="0" distR="0" wp14:anchorId="4EAD3E0C" wp14:editId="6732236E">
            <wp:extent cx="5120640" cy="449995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pplFigureS3_correlation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20640" cy="4499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6C897C" w14:textId="77777777" w:rsidR="0068089B" w:rsidRDefault="00000000">
      <w:pPr>
        <w:spacing w:after="240"/>
      </w:pPr>
      <w:r>
        <w:rPr>
          <w:sz w:val="18"/>
        </w:rPr>
        <w:t>Supplementary Figure S3. Correlation structure of the simulated test set. Channels are physically coupled but not degenerate.</w:t>
      </w:r>
    </w:p>
    <w:p w14:paraId="67E3281F" w14:textId="77777777" w:rsidR="0068089B" w:rsidRDefault="00000000">
      <w:pPr>
        <w:spacing w:after="60"/>
        <w:jc w:val="center"/>
      </w:pPr>
      <w:r>
        <w:rPr>
          <w:noProof/>
        </w:rPr>
        <w:drawing>
          <wp:inline distT="0" distB="0" distL="0" distR="0" wp14:anchorId="09862155" wp14:editId="79B982B5">
            <wp:extent cx="5120640" cy="2975507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pplFigureS4_permutation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20640" cy="2975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871172" w14:textId="77777777" w:rsidR="0068089B" w:rsidRDefault="00000000">
      <w:pPr>
        <w:spacing w:after="240"/>
      </w:pPr>
      <w:r>
        <w:rPr>
          <w:sz w:val="18"/>
        </w:rPr>
        <w:t>Supplementary Figure S4. Permutation importance. The two classical severity ratios contribute nothing measurable once their constituent gases are present.</w:t>
      </w:r>
    </w:p>
    <w:p w14:paraId="28B4F046" w14:textId="77777777" w:rsidR="0068089B" w:rsidRDefault="00000000">
      <w:pPr>
        <w:spacing w:after="60"/>
        <w:jc w:val="center"/>
      </w:pPr>
      <w:r>
        <w:rPr>
          <w:noProof/>
        </w:rPr>
        <w:lastRenderedPageBreak/>
        <w:drawing>
          <wp:inline distT="0" distB="0" distL="0" distR="0" wp14:anchorId="5CD848DF" wp14:editId="70707B3C">
            <wp:extent cx="5120640" cy="275908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pplFigureS5_attention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0640" cy="2759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726733" w14:textId="77777777" w:rsidR="0068089B" w:rsidRDefault="00000000">
      <w:pPr>
        <w:spacing w:after="240"/>
      </w:pPr>
      <w:r>
        <w:rPr>
          <w:sz w:val="18"/>
        </w:rPr>
        <w:t>Supplementary Figure S5. Learned temporal attention profile by true class, averaged over simulated test windows.</w:t>
      </w:r>
    </w:p>
    <w:p w14:paraId="7FEDEB16" w14:textId="77777777" w:rsidR="0068089B" w:rsidRDefault="00000000">
      <w:pPr>
        <w:spacing w:after="60"/>
        <w:jc w:val="center"/>
      </w:pPr>
      <w:r>
        <w:rPr>
          <w:noProof/>
        </w:rPr>
        <w:drawing>
          <wp:inline distT="0" distB="0" distL="0" distR="0" wp14:anchorId="2634A00A" wp14:editId="4BEC610B">
            <wp:extent cx="5120640" cy="196596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pplFigureS6_sim_matched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20640" cy="19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60A9D8" w14:textId="77777777" w:rsidR="0068089B" w:rsidRDefault="00000000">
      <w:pPr>
        <w:spacing w:after="240"/>
      </w:pPr>
      <w:r>
        <w:rPr>
          <w:sz w:val="18"/>
        </w:rPr>
        <w:t>Supplementary Figure S6. Simulation: detection rate with 95 % bootstrap confidence intervals (a) and median lead time (b) at a matched false-alarm rate of 0.10.</w:t>
      </w:r>
    </w:p>
    <w:p w14:paraId="4860B13D" w14:textId="77777777" w:rsidR="0068089B" w:rsidRDefault="00000000">
      <w:pPr>
        <w:spacing w:after="60"/>
        <w:jc w:val="center"/>
      </w:pPr>
      <w:r>
        <w:rPr>
          <w:noProof/>
        </w:rPr>
        <w:drawing>
          <wp:inline distT="0" distB="0" distL="0" distR="0" wp14:anchorId="4653D2CA" wp14:editId="18CA6986">
            <wp:extent cx="5120640" cy="1828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pplFigureS7_field_matched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2064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7C4EF8" w14:textId="77777777" w:rsidR="0068089B" w:rsidRDefault="00000000">
      <w:pPr>
        <w:spacing w:after="240"/>
      </w:pPr>
      <w:r>
        <w:rPr>
          <w:sz w:val="18"/>
        </w:rPr>
        <w:t>Supplementary Figure S7. Field: detection rate with 95 % bootstrap confidence intervals (a) and median lead time (b) at a matched false-alarm rate of 0.10.</w:t>
      </w:r>
    </w:p>
    <w:sectPr w:rsidR="0068089B" w:rsidSect="00034616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54723097">
    <w:abstractNumId w:val="8"/>
  </w:num>
  <w:num w:numId="2" w16cid:durableId="1310818231">
    <w:abstractNumId w:val="6"/>
  </w:num>
  <w:num w:numId="3" w16cid:durableId="1478648516">
    <w:abstractNumId w:val="5"/>
  </w:num>
  <w:num w:numId="4" w16cid:durableId="1219778269">
    <w:abstractNumId w:val="4"/>
  </w:num>
  <w:num w:numId="5" w16cid:durableId="1145391672">
    <w:abstractNumId w:val="7"/>
  </w:num>
  <w:num w:numId="6" w16cid:durableId="1198196346">
    <w:abstractNumId w:val="3"/>
  </w:num>
  <w:num w:numId="7" w16cid:durableId="499581229">
    <w:abstractNumId w:val="2"/>
  </w:num>
  <w:num w:numId="8" w16cid:durableId="1621262044">
    <w:abstractNumId w:val="1"/>
  </w:num>
  <w:num w:numId="9" w16cid:durableId="350689128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550CA"/>
    <w:rsid w:val="0029639D"/>
    <w:rsid w:val="00326F90"/>
    <w:rsid w:val="0068089B"/>
    <w:rsid w:val="00AA1D8D"/>
    <w:rsid w:val="00B47730"/>
    <w:rsid w:val="00B52459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0D82B7"/>
  <w14:defaultImageDpi w14:val="300"/>
  <w15:docId w15:val="{42DF3374-56E1-904B-9AE4-00C3E43B7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 w:cs="Arial"/>
      <w:sz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5735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Ulaş Çınar</cp:lastModifiedBy>
  <cp:revision>2</cp:revision>
  <dcterms:created xsi:type="dcterms:W3CDTF">2026-08-11T14:08:00Z</dcterms:created>
  <dcterms:modified xsi:type="dcterms:W3CDTF">2026-08-11T14:08:00Z</dcterms:modified>
  <cp:category/>
</cp:coreProperties>
</file>